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ejuy7sryc9o9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WARUNKI PŁATNOŚCI – Rizz Cozy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Dostępne metody płatności:</w:t>
        <w:br w:type="textWrapping"/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Przelew tradycyjny</w:t>
      </w:r>
      <w:r w:rsidDel="00000000" w:rsidR="00000000" w:rsidRPr="00000000">
        <w:rPr>
          <w:rtl w:val="0"/>
        </w:rPr>
        <w:t xml:space="preserve"> na rachunek bankowy Sprzedawcy.</w:t>
        <w:br w:type="textWrapping"/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Platformy płatnicze:</w:t>
        <w:br w:type="textWrapping"/>
      </w:r>
    </w:p>
    <w:p w:rsidR="00000000" w:rsidDel="00000000" w:rsidP="00000000" w:rsidRDefault="00000000" w:rsidRPr="00000000" w14:paraId="00000005">
      <w:pPr>
        <w:numPr>
          <w:ilvl w:val="2"/>
          <w:numId w:val="1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Przelewy24</w:t>
        <w:br w:type="textWrapping"/>
      </w:r>
    </w:p>
    <w:p w:rsidR="00000000" w:rsidDel="00000000" w:rsidP="00000000" w:rsidRDefault="00000000" w:rsidRPr="00000000" w14:paraId="00000006">
      <w:pPr>
        <w:numPr>
          <w:ilvl w:val="2"/>
          <w:numId w:val="1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PayU</w:t>
        <w:br w:type="textWrapping"/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Płatność za pobraniem</w:t>
      </w:r>
      <w:r w:rsidDel="00000000" w:rsidR="00000000" w:rsidRPr="00000000">
        <w:rPr>
          <w:rtl w:val="0"/>
        </w:rPr>
        <w:t xml:space="preserve"> – gotówką przy odbiorze zamówienia.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Termin płatności: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 przypadku wybrania </w:t>
      </w:r>
      <w:r w:rsidDel="00000000" w:rsidR="00000000" w:rsidRPr="00000000">
        <w:rPr>
          <w:b w:val="1"/>
          <w:bCs w:val="1"/>
          <w:rtl w:val="0"/>
        </w:rPr>
        <w:t xml:space="preserve">płatności z góry</w:t>
      </w:r>
      <w:r w:rsidDel="00000000" w:rsidR="00000000" w:rsidRPr="00000000">
        <w:rPr>
          <w:rtl w:val="0"/>
        </w:rPr>
        <w:t xml:space="preserve">, Kupujący jest zobowiązany do opłacenia zamówienia </w:t>
      </w:r>
      <w:r w:rsidDel="00000000" w:rsidR="00000000" w:rsidRPr="00000000">
        <w:rPr>
          <w:b w:val="1"/>
          <w:bCs w:val="1"/>
          <w:rtl w:val="0"/>
        </w:rPr>
        <w:t xml:space="preserve">w ciągu 7 dni roboczych</w:t>
      </w:r>
      <w:r w:rsidDel="00000000" w:rsidR="00000000" w:rsidRPr="00000000">
        <w:rPr>
          <w:rtl w:val="0"/>
        </w:rPr>
        <w:t xml:space="preserve"> od jego złożenia.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Sprzedawca zastrzega, że przy niektórych metodach płatności, </w:t>
      </w:r>
      <w:r w:rsidDel="00000000" w:rsidR="00000000" w:rsidRPr="00000000">
        <w:rPr>
          <w:b w:val="1"/>
          <w:bCs w:val="1"/>
          <w:rtl w:val="0"/>
        </w:rPr>
        <w:t xml:space="preserve">zapłata możliwa jest wyłącznie bezpośrednio po złożeniu zamówienia</w:t>
      </w:r>
      <w:r w:rsidDel="00000000" w:rsidR="00000000" w:rsidRPr="00000000">
        <w:rPr>
          <w:rtl w:val="0"/>
        </w:rPr>
        <w:t xml:space="preserve"> (wynika to ze specyfiki tych usług).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Uwagi dodatkowe:</w:t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Brak opłacenia zamówienia w terminie może skutkować </w:t>
      </w:r>
      <w:r w:rsidDel="00000000" w:rsidR="00000000" w:rsidRPr="00000000">
        <w:rPr>
          <w:b w:val="1"/>
          <w:bCs w:val="1"/>
          <w:rtl w:val="0"/>
        </w:rPr>
        <w:t xml:space="preserve">anulowaniem zamówienia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 przypadku płatności z góry, realizacja zamówienia rozpoczyna się </w:t>
      </w:r>
      <w:r w:rsidDel="00000000" w:rsidR="00000000" w:rsidRPr="00000000">
        <w:rPr>
          <w:b w:val="1"/>
          <w:bCs w:val="1"/>
          <w:rtl w:val="0"/>
        </w:rPr>
        <w:t xml:space="preserve">po zaksięgowaniu płatności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